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BAAB1">
      <w:pPr>
        <w:pStyle w:val="2"/>
        <w:keepNext w:val="0"/>
        <w:keepLines w:val="0"/>
        <w:widowControl/>
        <w:suppressLineNumbers w:val="0"/>
        <w:shd w:val="clear" w:fill="FFFFFF"/>
        <w:spacing w:before="0" w:beforeAutospacing="0"/>
        <w:ind w:left="0" w:firstLine="0"/>
        <w:jc w:val="center"/>
        <w:rPr>
          <w:rFonts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1. Общие сведения</w:t>
      </w:r>
    </w:p>
    <w:p w14:paraId="7BAD3477">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1.1. Полное фирменное наименование эмитента: </w:t>
      </w:r>
      <w:r>
        <w:rPr>
          <w:rFonts w:hint="default" w:ascii="Manrope" w:hAnsi="Manrope" w:eastAsia="Manrope" w:cs="Manrope"/>
          <w:b/>
          <w:bCs/>
          <w:i/>
          <w:iCs/>
          <w:caps w:val="0"/>
          <w:color w:val="15293C"/>
          <w:spacing w:val="0"/>
          <w:kern w:val="0"/>
          <w:sz w:val="21"/>
          <w:szCs w:val="21"/>
          <w:shd w:val="clear" w:fill="FFFFFF"/>
          <w:lang w:val="en-US" w:eastAsia="zh-CN" w:bidi="ar"/>
        </w:rPr>
        <w:t>Банк «Йошкар-Ола» (публичное акционерное общество)</w:t>
      </w: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t>1.2. Адрес эмитента, указанный в едином государственном реестре юридических лиц: </w:t>
      </w:r>
      <w:r>
        <w:rPr>
          <w:rFonts w:hint="default" w:ascii="Manrope" w:hAnsi="Manrope" w:eastAsia="Manrope" w:cs="Manrope"/>
          <w:b/>
          <w:bCs/>
          <w:i/>
          <w:iCs/>
          <w:caps w:val="0"/>
          <w:color w:val="15293C"/>
          <w:spacing w:val="0"/>
          <w:kern w:val="0"/>
          <w:sz w:val="21"/>
          <w:szCs w:val="21"/>
          <w:shd w:val="clear" w:fill="FFFFFF"/>
          <w:lang w:val="en-US" w:eastAsia="zh-CN" w:bidi="ar"/>
        </w:rPr>
        <w:t>424006, Российская Федерация, Республика Марий Эл, г. Йошкар-Ола, ул. Панфилова, д. 39г</w:t>
      </w:r>
    </w:p>
    <w:p w14:paraId="47DDD0F1">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1.3. Основной государственный регистрационный номер (ОГРН) эмитента: </w:t>
      </w:r>
      <w:r>
        <w:rPr>
          <w:rFonts w:hint="default" w:ascii="Manrope" w:hAnsi="Manrope" w:eastAsia="Manrope" w:cs="Manrope"/>
          <w:b/>
          <w:bCs/>
          <w:i/>
          <w:iCs/>
          <w:caps w:val="0"/>
          <w:color w:val="15293C"/>
          <w:spacing w:val="0"/>
          <w:sz w:val="21"/>
          <w:szCs w:val="21"/>
          <w:shd w:val="clear" w:fill="FFFFFF"/>
        </w:rPr>
        <w:t>1021200004748</w:t>
      </w:r>
    </w:p>
    <w:p w14:paraId="446D73CE">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1.4. Идентификационный номер налогоплательщика (ИНН) эмитента: </w:t>
      </w:r>
      <w:r>
        <w:rPr>
          <w:rFonts w:hint="default" w:ascii="Manrope" w:hAnsi="Manrope" w:eastAsia="Manrope" w:cs="Manrope"/>
          <w:b/>
          <w:bCs/>
          <w:i/>
          <w:iCs/>
          <w:caps w:val="0"/>
          <w:color w:val="15293C"/>
          <w:spacing w:val="0"/>
          <w:sz w:val="21"/>
          <w:szCs w:val="21"/>
          <w:shd w:val="clear" w:fill="FFFFFF"/>
        </w:rPr>
        <w:t>1215059221</w:t>
      </w:r>
    </w:p>
    <w:p w14:paraId="765D91E5">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1.5. Уникальный код эмитента, присвоенный Банком России: </w:t>
      </w:r>
      <w:r>
        <w:rPr>
          <w:rFonts w:hint="default" w:ascii="Manrope" w:hAnsi="Manrope" w:eastAsia="Manrope" w:cs="Manrope"/>
          <w:b/>
          <w:bCs/>
          <w:i/>
          <w:iCs/>
          <w:caps w:val="0"/>
          <w:color w:val="15293C"/>
          <w:spacing w:val="0"/>
          <w:sz w:val="21"/>
          <w:szCs w:val="21"/>
          <w:shd w:val="clear" w:fill="FFFFFF"/>
        </w:rPr>
        <w:t>02802-В</w:t>
      </w:r>
    </w:p>
    <w:p w14:paraId="0DF91119">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1.6. Адрес страницы в сети «Интернет», используемой эмитентом для раскрытия информации: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"http://www.e-disclosure.ru/portal/company.aspx?id=3712"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http://www.e-disclosure.ru/portal/company.aspx?id=3712</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b/>
          <w:bCs/>
          <w:i/>
          <w:iCs/>
          <w:caps w:val="0"/>
          <w:color w:val="15293C"/>
          <w:spacing w:val="0"/>
          <w:sz w:val="21"/>
          <w:szCs w:val="21"/>
          <w:shd w:val="clear" w:fill="FFFFFF"/>
        </w:rPr>
        <w:t>;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"http://www.olabank.ru/"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www.olabank.ru</w:t>
      </w:r>
      <w:r>
        <w:rPr>
          <w:rFonts w:hint="default" w:ascii="Manrope" w:hAnsi="Manrope" w:eastAsia="Manrope" w:cs="Manrope"/>
          <w:i w:val="0"/>
          <w:iCs w:val="0"/>
          <w:caps w:val="0"/>
          <w:color w:val="15293C"/>
          <w:spacing w:val="0"/>
          <w:sz w:val="21"/>
          <w:szCs w:val="21"/>
          <w:u w:val="none"/>
          <w:shd w:val="clear" w:fill="FFFFFF"/>
        </w:rPr>
        <w:fldChar w:fldCharType="end"/>
      </w:r>
    </w:p>
    <w:p w14:paraId="4DF2C1C3">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1.7. Дата наступления события (существенного факта), о котором составлено сообщение: </w:t>
      </w:r>
      <w:r>
        <w:rPr>
          <w:rFonts w:hint="default" w:ascii="Manrope" w:hAnsi="Manrope" w:eastAsia="Manrope" w:cs="Manrope"/>
          <w:b/>
          <w:bCs/>
          <w:i/>
          <w:iCs/>
          <w:caps w:val="0"/>
          <w:color w:val="15293C"/>
          <w:spacing w:val="0"/>
          <w:sz w:val="21"/>
          <w:szCs w:val="21"/>
          <w:shd w:val="clear" w:fill="FFFFFF"/>
        </w:rPr>
        <w:t>25 марта 2024 года</w:t>
      </w:r>
    </w:p>
    <w:p w14:paraId="6F191CDE">
      <w:pPr>
        <w:pStyle w:val="6"/>
        <w:keepNext w:val="0"/>
        <w:keepLines w:val="0"/>
        <w:widowControl/>
        <w:suppressLineNumbers w:val="0"/>
        <w:spacing w:before="0" w:beforeAutospacing="0"/>
        <w:jc w:val="center"/>
      </w:pPr>
      <w:r>
        <w:rPr>
          <w:rFonts w:ascii="Arial" w:hAnsi="Arial" w:eastAsia="Manrope" w:cs="Arial"/>
          <w:b/>
          <w:bCs/>
          <w:i w:val="0"/>
          <w:iCs w:val="0"/>
          <w:caps w:val="0"/>
          <w:color w:val="336CA9"/>
          <w:spacing w:val="0"/>
          <w:sz w:val="15"/>
          <w:szCs w:val="15"/>
          <w:shd w:val="clear" w:fill="FFFFFF"/>
        </w:rPr>
        <w:t>2. Содержание сообщения</w:t>
      </w:r>
    </w:p>
    <w:p w14:paraId="53239860">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2.1. Сведения о кворуме заседания Совета директоров (наблюдательного совета) эмитента и результатах голосования по вопросам о принятии решений, предусмотренных пунктом 15.1. Положения Банка России от 27.03.2020 № 714-П: </w:t>
      </w:r>
      <w:r>
        <w:rPr>
          <w:rFonts w:hint="default" w:ascii="Manrope" w:hAnsi="Manrope" w:eastAsia="Manrope" w:cs="Manrope"/>
          <w:b/>
          <w:bCs/>
          <w:i w:val="0"/>
          <w:iCs w:val="0"/>
          <w:caps w:val="0"/>
          <w:color w:val="15293C"/>
          <w:spacing w:val="0"/>
          <w:sz w:val="21"/>
          <w:szCs w:val="21"/>
          <w:shd w:val="clear" w:fill="FFFFFF"/>
        </w:rPr>
        <w:t>Членов Совета директоров – 5 человек.</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На дату окончания приема бюллетеней для заочного голосования – </w:t>
      </w:r>
      <w:r>
        <w:rPr>
          <w:rFonts w:hint="default" w:ascii="Manrope" w:hAnsi="Manrope" w:eastAsia="Manrope" w:cs="Manrope"/>
          <w:b/>
          <w:bCs/>
          <w:i w:val="0"/>
          <w:iCs w:val="0"/>
          <w:caps w:val="0"/>
          <w:color w:val="15293C"/>
          <w:spacing w:val="0"/>
          <w:sz w:val="21"/>
          <w:szCs w:val="21"/>
          <w:shd w:val="clear" w:fill="FFFFFF"/>
        </w:rPr>
        <w:t>22 марта 2024 года</w:t>
      </w:r>
      <w:r>
        <w:rPr>
          <w:rFonts w:hint="default" w:ascii="Manrope" w:hAnsi="Manrope" w:eastAsia="Manrope" w:cs="Manrope"/>
          <w:i w:val="0"/>
          <w:iCs w:val="0"/>
          <w:caps w:val="0"/>
          <w:color w:val="15293C"/>
          <w:spacing w:val="0"/>
          <w:sz w:val="21"/>
          <w:szCs w:val="21"/>
          <w:shd w:val="clear" w:fill="FFFFFF"/>
        </w:rPr>
        <w:t> поступило </w:t>
      </w:r>
      <w:r>
        <w:rPr>
          <w:rFonts w:hint="default" w:ascii="Manrope" w:hAnsi="Manrope" w:eastAsia="Manrope" w:cs="Manrope"/>
          <w:b/>
          <w:bCs/>
          <w:i w:val="0"/>
          <w:iCs w:val="0"/>
          <w:caps w:val="0"/>
          <w:color w:val="15293C"/>
          <w:spacing w:val="0"/>
          <w:sz w:val="21"/>
          <w:szCs w:val="21"/>
          <w:shd w:val="clear" w:fill="FFFFFF"/>
        </w:rPr>
        <w:t>4 бюллетеня </w:t>
      </w:r>
      <w:r>
        <w:rPr>
          <w:rFonts w:hint="default" w:ascii="Manrope" w:hAnsi="Manrope" w:eastAsia="Manrope" w:cs="Manrope"/>
          <w:i w:val="0"/>
          <w:iCs w:val="0"/>
          <w:caps w:val="0"/>
          <w:color w:val="15293C"/>
          <w:spacing w:val="0"/>
          <w:sz w:val="21"/>
          <w:szCs w:val="21"/>
          <w:shd w:val="clear" w:fill="FFFFFF"/>
        </w:rPr>
        <w:t>для голосования. Кворум для принятия решений имеется.</w:t>
      </w:r>
    </w:p>
    <w:p w14:paraId="4687FE2D">
      <w:pPr>
        <w:pStyle w:val="6"/>
        <w:keepNext w:val="0"/>
        <w:keepLines w:val="0"/>
        <w:widowControl/>
        <w:suppressLineNumbers w:val="0"/>
        <w:spacing w:before="0" w:beforeAutospacing="0"/>
      </w:pPr>
      <w:r>
        <w:rPr>
          <w:rFonts w:hint="default" w:ascii="Manrope" w:hAnsi="Manrope" w:eastAsia="Manrope" w:cs="Manrope"/>
          <w:b/>
          <w:bCs/>
          <w:i w:val="0"/>
          <w:iCs w:val="0"/>
          <w:caps w:val="0"/>
          <w:color w:val="15293C"/>
          <w:spacing w:val="0"/>
          <w:sz w:val="21"/>
          <w:szCs w:val="21"/>
          <w:shd w:val="clear" w:fill="FFFFFF"/>
        </w:rPr>
        <w:t>Результаты голосования по вопросам о принятии решений:</w:t>
      </w:r>
    </w:p>
    <w:p w14:paraId="61B7DB2E">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 Об утверждении отчета об управлении операционным риском в Банке «Йошкар-Ола» (ПАО) по состоянию на 01.01.2024.</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Результаты голосования: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 – 4 голоса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ПРОТИВ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ВОЗДЕРЖАЛИСЬ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Решение принято единогласно.</w:t>
      </w:r>
    </w:p>
    <w:p w14:paraId="22EFD619">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 Об утверждении сигнальных и контрольных значений контрольных показателей уровня операционного риска на 2024 год.</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Результаты голосования: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 – 4 голоса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ПРОТИВ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ВОЗДЕРЖАЛИСЬ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Решение принято единогласно.</w:t>
      </w:r>
    </w:p>
    <w:p w14:paraId="4D1C20CF">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 Об утверждении Плана работы службы внутреннего аудита Банка «Йошкар-Ола» (ПАО) на 2 квартал 2024 года.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Результаты голосования: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 – 4 голоса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ПРОТИВ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ВОЗДЕРЖАЛИСЬ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Решение принято единогласно.</w:t>
      </w:r>
    </w:p>
    <w:p w14:paraId="60ADE0AD">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2.2. Содержание решений, принятых Советом директоров (наблюдательным советом) эмитента: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-Утвердить отчет об управлении операционным риском в Банке «Йошкар-Ола» (ПАО) по состоянию на 01.01.2024.</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-Принять к сведению информацию о событиях операционного риска в разрезе элементов классификации событий операционного риска: источников операционного риска, типов событий операционного риска, направлений деятельности, видов потерь от реализации операционного риска, о результатах проведенных процедур управления операционным риском, в том числе о результатах процедуры количественной оценки уровня операционного риска, выбранных способах реагирования по результатам проведенной процедуры количественной оценки уровня операционного риска, результатах мониторинга операционного риска, результатах выполнения мероприятий, направленных на повышение качества системы управления операционным риском и уменьшение негативного влияния операционного риска, о событиях риска информационной безопасности, о фактических значениях контрольных показателей уровня операционного риска (включая контрольные показатели риска информационной безопасности).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 Утвердить сигнальные и контрольные значения контрольных показателей уровня операционного риска на 2024 год.</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 Утвердить План работы службы внутреннего аудита Банка «Йошкар-Ола» (ПАО) на 2 квартал 2024 года.</w:t>
      </w:r>
    </w:p>
    <w:p w14:paraId="68B31AA9">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2.3. Дата проведения заседания совета директоров (наблюдательного совета) эмитента, на котором приняты решения /дата окончания приема бюллетеней для заочного голосования: </w:t>
      </w:r>
      <w:r>
        <w:rPr>
          <w:rFonts w:hint="default" w:ascii="Manrope" w:hAnsi="Manrope" w:eastAsia="Manrope" w:cs="Manrope"/>
          <w:b/>
          <w:bCs/>
          <w:i/>
          <w:iCs/>
          <w:caps w:val="0"/>
          <w:color w:val="15293C"/>
          <w:spacing w:val="0"/>
          <w:sz w:val="21"/>
          <w:szCs w:val="21"/>
          <w:shd w:val="clear" w:fill="FFFFFF"/>
        </w:rPr>
        <w:t>22 марта 2024 года.</w:t>
      </w:r>
    </w:p>
    <w:p w14:paraId="46020C4D">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Форма проведения заседания – </w:t>
      </w:r>
      <w:r>
        <w:rPr>
          <w:rFonts w:hint="default" w:ascii="Manrope" w:hAnsi="Manrope" w:eastAsia="Manrope" w:cs="Manrope"/>
          <w:b/>
          <w:bCs/>
          <w:i/>
          <w:iCs/>
          <w:caps w:val="0"/>
          <w:color w:val="15293C"/>
          <w:spacing w:val="0"/>
          <w:sz w:val="21"/>
          <w:szCs w:val="21"/>
          <w:shd w:val="clear" w:fill="FFFFFF"/>
        </w:rPr>
        <w:t>заочное голосование (опросным путем).</w:t>
      </w:r>
    </w:p>
    <w:p w14:paraId="2989EFA9">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Почтовый адрес, по которому направлялись заполненные бюллетени для голосования: </w:t>
      </w:r>
      <w:r>
        <w:rPr>
          <w:rFonts w:hint="default" w:ascii="Manrope" w:hAnsi="Manrope" w:eastAsia="Manrope" w:cs="Manrope"/>
          <w:b/>
          <w:bCs/>
          <w:i/>
          <w:iCs/>
          <w:caps w:val="0"/>
          <w:color w:val="15293C"/>
          <w:spacing w:val="0"/>
          <w:sz w:val="21"/>
          <w:szCs w:val="21"/>
          <w:shd w:val="clear" w:fill="FFFFFF"/>
        </w:rPr>
        <w:t>424006, Республика Марий Эл, г. Йошкар-Ола, ул. Панфилова, д.39 г, каб.403.</w:t>
      </w:r>
    </w:p>
    <w:p w14:paraId="320FE519">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2.4. Дата составления и номер протокола заседания совета директоров (наблюдательного совета) эмитента, на котором приняты решения: </w:t>
      </w:r>
      <w:r>
        <w:rPr>
          <w:rFonts w:hint="default" w:ascii="Manrope" w:hAnsi="Manrope" w:eastAsia="Manrope" w:cs="Manrope"/>
          <w:b/>
          <w:bCs/>
          <w:i/>
          <w:iCs/>
          <w:caps w:val="0"/>
          <w:color w:val="15293C"/>
          <w:spacing w:val="0"/>
          <w:sz w:val="21"/>
          <w:szCs w:val="21"/>
          <w:shd w:val="clear" w:fill="FFFFFF"/>
        </w:rPr>
        <w:t>Протокол № 04 от 25.03.2024.</w:t>
      </w:r>
    </w:p>
    <w:p w14:paraId="69B91C7C">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3. Подпись</w:t>
      </w:r>
    </w:p>
    <w:tbl>
      <w:tblPr>
        <w:tblW w:w="11172"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6128"/>
        <w:gridCol w:w="5044"/>
      </w:tblGrid>
      <w:tr w14:paraId="32BBCE1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7F1D872D">
            <w:pPr>
              <w:pStyle w:val="6"/>
              <w:keepNext w:val="0"/>
              <w:keepLines w:val="0"/>
              <w:widowControl/>
              <w:suppressLineNumbers w:val="0"/>
              <w:spacing w:before="0" w:beforeAutospacing="0"/>
            </w:pPr>
            <w:r>
              <w:t>3.1. Президент Банка "Йошкар-Ола" (ПАО)              </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3133BD">
            <w:pPr>
              <w:pStyle w:val="6"/>
              <w:keepNext w:val="0"/>
              <w:keepLines w:val="0"/>
              <w:widowControl/>
              <w:suppressLineNumbers w:val="0"/>
              <w:spacing w:before="0" w:beforeAutospacing="0"/>
            </w:pPr>
            <w:r>
              <w:t>________________ Р.И. Изофатов               </w:t>
            </w:r>
          </w:p>
        </w:tc>
      </w:tr>
      <w:tr w14:paraId="60AE99B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7BC594F2">
            <w:pPr>
              <w:pStyle w:val="6"/>
              <w:keepNext w:val="0"/>
              <w:keepLines w:val="0"/>
              <w:widowControl/>
              <w:suppressLineNumbers w:val="0"/>
              <w:spacing w:before="0" w:beforeAutospacing="0"/>
            </w:pPr>
            <w:r>
              <w:t>3.2. Дата "25" марта 2024 г.</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9C9835">
            <w:pPr>
              <w:pStyle w:val="6"/>
              <w:keepNext w:val="0"/>
              <w:keepLines w:val="0"/>
              <w:widowControl/>
              <w:suppressLineNumbers w:val="0"/>
              <w:spacing w:before="0" w:beforeAutospacing="0"/>
            </w:pPr>
            <w:r>
              <w:t>                                 М.П.</w:t>
            </w:r>
          </w:p>
        </w:tc>
      </w:tr>
    </w:tbl>
    <w:p w14:paraId="29D52BCC">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nrope">
    <w:panose1 w:val="00000506000000000000"/>
    <w:charset w:val="00"/>
    <w:family w:val="auto"/>
    <w:pitch w:val="default"/>
    <w:sig w:usb0="00000207" w:usb1="00000000" w:usb2="00000000" w:usb3="00000000" w:csb0="2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E0AB2"/>
    <w:rsid w:val="0EDE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2025-02-18T09:23:00Z</dcterms:created>
  <dc:creator>Ольга Никитина</dc:creator>
  <cp:lastModifiedBy>Ольга Никитина</cp:lastModifiedBy>
  <dcterms:modified xsi:type="dcterms:W3CDTF">2025-02-18T09:26:20Z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6623D6A7B72444ECAD62EC7863008BCA_11</vt:lpwstr>
  </property>
</Properties>
</file>