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06E21" w14:textId="77777777" w:rsidR="00F63FD5" w:rsidRPr="00F63FD5" w:rsidRDefault="00F63FD5" w:rsidP="00F63FD5">
      <w:pPr>
        <w:ind w:firstLine="709"/>
        <w:jc w:val="right"/>
        <w:rPr>
          <w:sz w:val="16"/>
          <w:szCs w:val="16"/>
        </w:rPr>
      </w:pPr>
      <w:r w:rsidRPr="00F63FD5">
        <w:rPr>
          <w:sz w:val="16"/>
          <w:szCs w:val="16"/>
        </w:rPr>
        <w:t>Приложение № 1</w:t>
      </w:r>
    </w:p>
    <w:p w14:paraId="31DDABCD" w14:textId="77777777" w:rsidR="00F63FD5" w:rsidRPr="00F63FD5" w:rsidRDefault="00F63FD5" w:rsidP="00F63FD5">
      <w:pPr>
        <w:ind w:firstLine="709"/>
        <w:jc w:val="right"/>
        <w:rPr>
          <w:sz w:val="16"/>
          <w:szCs w:val="16"/>
        </w:rPr>
      </w:pPr>
      <w:r w:rsidRPr="00F63FD5">
        <w:rPr>
          <w:sz w:val="16"/>
          <w:szCs w:val="16"/>
        </w:rPr>
        <w:t>к Инструкции Банка «Йошкар-Ола» (ПАО)</w:t>
      </w:r>
    </w:p>
    <w:p w14:paraId="201499B6" w14:textId="77777777" w:rsidR="00F63FD5" w:rsidRPr="00F63FD5" w:rsidRDefault="00F63FD5" w:rsidP="00F63FD5">
      <w:pPr>
        <w:ind w:firstLine="709"/>
        <w:jc w:val="right"/>
        <w:rPr>
          <w:sz w:val="16"/>
          <w:szCs w:val="16"/>
        </w:rPr>
      </w:pPr>
      <w:r w:rsidRPr="00F63FD5">
        <w:rPr>
          <w:sz w:val="16"/>
          <w:szCs w:val="16"/>
        </w:rPr>
        <w:t xml:space="preserve">по осуществлению переводов денежных средств </w:t>
      </w:r>
    </w:p>
    <w:p w14:paraId="5159A479" w14:textId="77777777" w:rsidR="00F63FD5" w:rsidRPr="00F63FD5" w:rsidRDefault="00F63FD5" w:rsidP="00F63FD5">
      <w:pPr>
        <w:ind w:firstLine="709"/>
        <w:jc w:val="right"/>
        <w:rPr>
          <w:sz w:val="16"/>
          <w:szCs w:val="16"/>
        </w:rPr>
      </w:pPr>
      <w:r w:rsidRPr="00F63FD5">
        <w:rPr>
          <w:sz w:val="16"/>
          <w:szCs w:val="16"/>
        </w:rPr>
        <w:t xml:space="preserve">без открытия банковского счета по распоряжению </w:t>
      </w:r>
    </w:p>
    <w:p w14:paraId="77078920" w14:textId="77777777" w:rsidR="00F63FD5" w:rsidRPr="00F63FD5" w:rsidRDefault="00F63FD5" w:rsidP="00F63FD5">
      <w:pPr>
        <w:ind w:firstLine="709"/>
        <w:jc w:val="right"/>
        <w:rPr>
          <w:sz w:val="16"/>
          <w:szCs w:val="16"/>
        </w:rPr>
      </w:pPr>
      <w:r w:rsidRPr="00F63FD5">
        <w:rPr>
          <w:sz w:val="16"/>
          <w:szCs w:val="16"/>
        </w:rPr>
        <w:t xml:space="preserve">физических лиц с использованием платежной </w:t>
      </w:r>
    </w:p>
    <w:p w14:paraId="7724824A" w14:textId="77777777" w:rsidR="00F63FD5" w:rsidRPr="00F63FD5" w:rsidRDefault="00F63FD5" w:rsidP="00F63FD5">
      <w:pPr>
        <w:ind w:firstLine="709"/>
        <w:jc w:val="right"/>
        <w:rPr>
          <w:b/>
          <w:sz w:val="16"/>
          <w:szCs w:val="16"/>
        </w:rPr>
      </w:pPr>
      <w:r w:rsidRPr="00F63FD5">
        <w:rPr>
          <w:sz w:val="16"/>
          <w:szCs w:val="16"/>
        </w:rPr>
        <w:t>инфраструктуры операторов платежных систем</w:t>
      </w:r>
    </w:p>
    <w:p w14:paraId="4EA73FDA" w14:textId="77777777" w:rsidR="00F63FD5" w:rsidRDefault="00F63FD5" w:rsidP="00F63FD5">
      <w:pPr>
        <w:ind w:firstLine="709"/>
        <w:jc w:val="center"/>
        <w:rPr>
          <w:b/>
          <w:sz w:val="24"/>
          <w:szCs w:val="24"/>
        </w:rPr>
      </w:pPr>
    </w:p>
    <w:p w14:paraId="0149687D" w14:textId="77777777" w:rsidR="00F63FD5" w:rsidRPr="00E56ADF" w:rsidRDefault="00F63FD5" w:rsidP="00F63FD5">
      <w:pPr>
        <w:ind w:firstLine="709"/>
        <w:jc w:val="center"/>
        <w:rPr>
          <w:b/>
          <w:sz w:val="24"/>
          <w:szCs w:val="24"/>
        </w:rPr>
      </w:pPr>
      <w:r w:rsidRPr="00E56ADF">
        <w:rPr>
          <w:b/>
          <w:sz w:val="24"/>
          <w:szCs w:val="24"/>
        </w:rPr>
        <w:t>Порядок и условия предоставления услуг по переводу денежных средств по поручению клиентов-физических лиц без открытия банковского счета, включая трансграничные переводы денежных средств клиентов без открытия банковского счета.</w:t>
      </w:r>
    </w:p>
    <w:p w14:paraId="783A322A" w14:textId="77777777" w:rsidR="00F63FD5" w:rsidRPr="00E56ADF" w:rsidRDefault="00F63FD5" w:rsidP="00F63FD5">
      <w:pPr>
        <w:ind w:firstLine="709"/>
        <w:jc w:val="both"/>
        <w:rPr>
          <w:sz w:val="24"/>
          <w:szCs w:val="24"/>
        </w:rPr>
      </w:pPr>
      <w:r w:rsidRPr="00E56ADF">
        <w:rPr>
          <w:sz w:val="24"/>
          <w:szCs w:val="24"/>
        </w:rPr>
        <w:t xml:space="preserve">Настоящие порядок и условия предоставления услуг по переводу денежных средств по поручению клиентов-физических лиц без открытия банковского счета, включая трансграничные переводы денежных средств клиентов без открытия банковского счета разработаны согласно Методическим рекомендациям по повышению прозрачности и обеспечению доступности информации о переводах денежных средств без открытия банковских счетов от 02.04.2019 </w:t>
      </w:r>
      <w:r w:rsidRPr="00F63FD5">
        <w:rPr>
          <w:sz w:val="24"/>
          <w:szCs w:val="24"/>
        </w:rPr>
        <w:br/>
      </w:r>
      <w:r w:rsidRPr="00E56ADF">
        <w:rPr>
          <w:sz w:val="24"/>
          <w:szCs w:val="24"/>
        </w:rPr>
        <w:t>№ 10-МР.</w:t>
      </w:r>
    </w:p>
    <w:p w14:paraId="6BA35C48" w14:textId="1EE73ED6" w:rsidR="00F63FD5" w:rsidRPr="00E76C65" w:rsidRDefault="00F63FD5" w:rsidP="00E76C65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Перечень документов (сведений), представляемых клиентом при осуществлении перевода денежных средств, включая перечень документов (сведений) для целей идентификации клиента, представителя клиента, выгодоприобретателей, бенефициарных владельцев, упрощенной идентификации клиента в соответствии с Федеральным законом от 07.08.2001 № 115-ФЗ </w:t>
      </w:r>
      <w:r w:rsidRPr="00E76C65">
        <w:rPr>
          <w:sz w:val="24"/>
          <w:szCs w:val="24"/>
        </w:rPr>
        <w:br/>
        <w:t>«О противодействии легализации (отмыванию) доходов, полученных преступным путем, и финансированию терроризма», определяется внутренними документами Банка и включает в себя:</w:t>
      </w:r>
    </w:p>
    <w:p w14:paraId="7518389A" w14:textId="663395EC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фамилия, имя, отчество (при наличии последнего);</w:t>
      </w:r>
    </w:p>
    <w:p w14:paraId="3D40754A" w14:textId="26E69C50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дата и место рождения;</w:t>
      </w:r>
    </w:p>
    <w:p w14:paraId="6CE06FC5" w14:textId="4E61A133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гражданство;</w:t>
      </w:r>
    </w:p>
    <w:p w14:paraId="792CDB3D" w14:textId="3ACD8AEC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адрес места жительства (регистрации) или места пребывания;</w:t>
      </w:r>
    </w:p>
    <w:p w14:paraId="48E3AAF8" w14:textId="04AF6718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ИНН (при наличии);</w:t>
      </w:r>
    </w:p>
    <w:p w14:paraId="6122D704" w14:textId="621EBE6B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bCs/>
          <w:sz w:val="24"/>
          <w:szCs w:val="24"/>
        </w:rPr>
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</w:r>
      <w:r w:rsidRPr="00E76C65">
        <w:rPr>
          <w:spacing w:val="-4"/>
          <w:sz w:val="24"/>
          <w:szCs w:val="24"/>
        </w:rPr>
        <w:t>(при наличии);</w:t>
      </w:r>
    </w:p>
    <w:p w14:paraId="109F9603" w14:textId="407DF30B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паспорт гражданина РФ либо иной документ, признаваемый в соответствии с законодательством Российской Федерации документом, удостоверяющим личность;</w:t>
      </w:r>
    </w:p>
    <w:p w14:paraId="554AB799" w14:textId="018D5D51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bCs/>
          <w:sz w:val="24"/>
          <w:szCs w:val="24"/>
        </w:rPr>
        <w:t>данные</w:t>
      </w:r>
      <w:r w:rsidRPr="00E76C65">
        <w:rPr>
          <w:b/>
          <w:bCs/>
          <w:sz w:val="24"/>
          <w:szCs w:val="24"/>
        </w:rPr>
        <w:t xml:space="preserve"> </w:t>
      </w:r>
      <w:r w:rsidRPr="00E76C65">
        <w:rPr>
          <w:sz w:val="24"/>
          <w:szCs w:val="24"/>
        </w:rPr>
        <w:t>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(проживания);</w:t>
      </w:r>
    </w:p>
    <w:p w14:paraId="2E723F80" w14:textId="12640EED" w:rsidR="00F63FD5" w:rsidRPr="00E76C65" w:rsidRDefault="00F63FD5" w:rsidP="00E76C65">
      <w:pPr>
        <w:pStyle w:val="a5"/>
        <w:numPr>
          <w:ilvl w:val="0"/>
          <w:numId w:val="1"/>
        </w:numPr>
        <w:ind w:left="993" w:hanging="142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полностью заполненный и подписанный бланк «Для отправления денег» (предназначенный для отправления денежных средств) - все поля бланка являются обязательными для заполнения</w:t>
      </w:r>
      <w:r w:rsidR="00E76C65">
        <w:rPr>
          <w:sz w:val="24"/>
          <w:szCs w:val="24"/>
        </w:rPr>
        <w:t>. В</w:t>
      </w:r>
      <w:r w:rsidRPr="00E76C65">
        <w:rPr>
          <w:sz w:val="24"/>
          <w:szCs w:val="24"/>
        </w:rPr>
        <w:t xml:space="preserve"> случае, если какие-либо поля бланка не заполнены, Банк имеет право отказать клиенту в услуге отправления перевода.</w:t>
      </w:r>
    </w:p>
    <w:p w14:paraId="6FFADFF3" w14:textId="77777777" w:rsidR="00F63FD5" w:rsidRPr="00E56ADF" w:rsidRDefault="00F63FD5" w:rsidP="00F63FD5">
      <w:pPr>
        <w:ind w:firstLine="709"/>
        <w:jc w:val="both"/>
        <w:rPr>
          <w:sz w:val="24"/>
          <w:szCs w:val="24"/>
        </w:rPr>
      </w:pPr>
      <w:r w:rsidRPr="00E56ADF">
        <w:rPr>
          <w:sz w:val="24"/>
          <w:szCs w:val="24"/>
        </w:rPr>
        <w:t>Документы, составленные полностью или в какой-либо их части на иностранном языке, представляются в Банк с надлежащим образом заверенным переводом на русский язык.</w:t>
      </w:r>
    </w:p>
    <w:p w14:paraId="066E4DF0" w14:textId="590BB03E" w:rsidR="00F63FD5" w:rsidRPr="00E76C65" w:rsidRDefault="00F63FD5" w:rsidP="00E76C65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В тарифах каждой системы денежных переводов, расположенных на информационных стендах </w:t>
      </w:r>
      <w:r w:rsidR="005E7938">
        <w:rPr>
          <w:sz w:val="24"/>
          <w:szCs w:val="24"/>
        </w:rPr>
        <w:t xml:space="preserve">в </w:t>
      </w:r>
      <w:r w:rsidRPr="00E76C65">
        <w:rPr>
          <w:sz w:val="24"/>
          <w:szCs w:val="24"/>
        </w:rPr>
        <w:t>подразделени</w:t>
      </w:r>
      <w:r w:rsidR="005E7938">
        <w:rPr>
          <w:sz w:val="24"/>
          <w:szCs w:val="24"/>
        </w:rPr>
        <w:t>ях</w:t>
      </w:r>
      <w:r w:rsidRPr="00E76C65">
        <w:rPr>
          <w:sz w:val="24"/>
          <w:szCs w:val="24"/>
        </w:rPr>
        <w:t xml:space="preserve"> Банка, указан перечень стран, в которых может быть осуществлена выдача наличных денежных средств клиенту, который является получателем средств. Перед отправлением денежного перевода необходимо обязательно удостовериться, доступна ли выплата перевода в стране, в которую осуществляется отправка денежных средств. </w:t>
      </w:r>
    </w:p>
    <w:p w14:paraId="03B56BB9" w14:textId="77777777" w:rsidR="00E76C65" w:rsidRDefault="00F63FD5" w:rsidP="00E76C65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Сведения о кредитных организациях, об отделениях и филиалах кредитных организаций и (или) привлеченных банковских платежных агентах (субагентах), в которых (которыми) могут быть выданы получателю наличные денежные средства, включая адрес и режим работы, а также номер лицензии и адрес головной кредитной организации указаны на сайтах платежных систем.</w:t>
      </w:r>
    </w:p>
    <w:p w14:paraId="255AED39" w14:textId="6347B8BE" w:rsidR="00F63FD5" w:rsidRPr="00E76C65" w:rsidRDefault="00F63FD5" w:rsidP="00E76C65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Сведения о сумм</w:t>
      </w:r>
      <w:r w:rsidR="005E7938">
        <w:rPr>
          <w:sz w:val="24"/>
          <w:szCs w:val="24"/>
        </w:rPr>
        <w:t>е</w:t>
      </w:r>
      <w:r w:rsidRPr="00E76C65">
        <w:rPr>
          <w:sz w:val="24"/>
          <w:szCs w:val="24"/>
        </w:rPr>
        <w:t xml:space="preserve"> перевод</w:t>
      </w:r>
      <w:r w:rsidR="005E7938">
        <w:rPr>
          <w:sz w:val="24"/>
          <w:szCs w:val="24"/>
        </w:rPr>
        <w:t>а</w:t>
      </w:r>
      <w:r w:rsidR="005E4B6F">
        <w:rPr>
          <w:sz w:val="24"/>
          <w:szCs w:val="24"/>
        </w:rPr>
        <w:t xml:space="preserve"> и размер</w:t>
      </w:r>
      <w:r w:rsidR="00B84392">
        <w:rPr>
          <w:sz w:val="24"/>
          <w:szCs w:val="24"/>
        </w:rPr>
        <w:t>ах</w:t>
      </w:r>
      <w:r w:rsidR="005E4B6F">
        <w:rPr>
          <w:sz w:val="24"/>
          <w:szCs w:val="24"/>
        </w:rPr>
        <w:t xml:space="preserve"> взимаемых вознаграждений</w:t>
      </w:r>
      <w:r w:rsidRPr="00E76C65">
        <w:rPr>
          <w:sz w:val="24"/>
          <w:szCs w:val="24"/>
        </w:rPr>
        <w:t>.</w:t>
      </w:r>
    </w:p>
    <w:p w14:paraId="2DE84414" w14:textId="77777777" w:rsid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Переводы в рамках систем денежных переводов из/в/по Российской Федерации осуществляются физическими лицами с учетом требований и ограничений валютного законодательства Российской Федерации, в соответствии с ограничениями, установленными системами денежных переводов, а также с иными ограничениями (в том числе по предписаниям Банка России, ограничивающих суммы и порядок оправления/получения переводов физическими лицами).</w:t>
      </w:r>
    </w:p>
    <w:p w14:paraId="03A6D975" w14:textId="77777777" w:rsid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lastRenderedPageBreak/>
        <w:t>В соответствии с законодательством Российской Федерации физическое лицо - резидент имеет право перевести из Российской Федерации без открытия банковского счета иностранную валюту или валюту Российской Федерации в сумме, не превышающей в эквиваленте 5000 долларов США, определяемой с использованием официальных курсов иностранных валют к рублю, установленных Банком России на дату осуществления указанного перевода. Общая сумма денежных средств, отправляемых физическим лицом – резидентом из Российской Федерации без открытия банковского счета через Банк в течение одного операционного дня, не должна превышать сумму, указанную в настоящем пункте.</w:t>
      </w:r>
    </w:p>
    <w:p w14:paraId="0BAD4B01" w14:textId="062E0837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Размеры минимальной и максимальной суммы перевода денежных средств: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0"/>
        <w:gridCol w:w="3544"/>
        <w:gridCol w:w="3864"/>
      </w:tblGrid>
      <w:tr w:rsidR="00F63FD5" w:rsidRPr="00E56ADF" w14:paraId="7045CE91" w14:textId="77777777" w:rsidTr="00F63FD5">
        <w:trPr>
          <w:trHeight w:hRule="exact" w:val="69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32E0C" w14:textId="77777777" w:rsidR="00F63FD5" w:rsidRPr="00E56ADF" w:rsidRDefault="00F63FD5" w:rsidP="00F63FD5">
            <w:pPr>
              <w:jc w:val="center"/>
              <w:rPr>
                <w:b/>
                <w:sz w:val="24"/>
                <w:szCs w:val="24"/>
              </w:rPr>
            </w:pPr>
            <w:r w:rsidRPr="00E56ADF">
              <w:rPr>
                <w:b/>
                <w:sz w:val="24"/>
                <w:szCs w:val="24"/>
              </w:rPr>
              <w:t>Система денежных переводов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A3D2D" w14:textId="77777777" w:rsidR="00F63FD5" w:rsidRDefault="00F63FD5" w:rsidP="00F63F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56ADF">
              <w:rPr>
                <w:b/>
                <w:sz w:val="24"/>
                <w:szCs w:val="24"/>
              </w:rPr>
              <w:t xml:space="preserve">Минимальная </w:t>
            </w:r>
          </w:p>
          <w:p w14:paraId="1FF9D7BE" w14:textId="77777777" w:rsidR="00F63FD5" w:rsidRPr="00E56ADF" w:rsidRDefault="00F63FD5" w:rsidP="00F63FD5">
            <w:pPr>
              <w:jc w:val="center"/>
              <w:rPr>
                <w:b/>
                <w:sz w:val="24"/>
                <w:szCs w:val="24"/>
              </w:rPr>
            </w:pPr>
            <w:r w:rsidRPr="00E56ADF">
              <w:rPr>
                <w:b/>
                <w:sz w:val="24"/>
                <w:szCs w:val="24"/>
              </w:rPr>
              <w:t>сумма перевода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6592F" w14:textId="77777777" w:rsidR="00F63FD5" w:rsidRDefault="00F63FD5" w:rsidP="00F63F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56ADF">
              <w:rPr>
                <w:b/>
                <w:sz w:val="24"/>
                <w:szCs w:val="24"/>
              </w:rPr>
              <w:t xml:space="preserve">Максимальная </w:t>
            </w:r>
          </w:p>
          <w:p w14:paraId="10282CA7" w14:textId="77777777" w:rsidR="00F63FD5" w:rsidRPr="00E56ADF" w:rsidRDefault="00F63FD5" w:rsidP="00F63FD5">
            <w:pPr>
              <w:jc w:val="center"/>
              <w:rPr>
                <w:sz w:val="24"/>
                <w:szCs w:val="24"/>
              </w:rPr>
            </w:pPr>
            <w:r w:rsidRPr="00E56ADF">
              <w:rPr>
                <w:b/>
                <w:sz w:val="24"/>
                <w:szCs w:val="24"/>
              </w:rPr>
              <w:t>сумма перевода</w:t>
            </w:r>
            <w:r w:rsidRPr="00E56ADF">
              <w:rPr>
                <w:rStyle w:val="a4"/>
                <w:b/>
                <w:sz w:val="24"/>
                <w:szCs w:val="24"/>
              </w:rPr>
              <w:footnoteReference w:id="1"/>
            </w:r>
          </w:p>
        </w:tc>
      </w:tr>
      <w:tr w:rsidR="00F63FD5" w:rsidRPr="00E56ADF" w14:paraId="0D168B35" w14:textId="77777777" w:rsidTr="00803B53">
        <w:trPr>
          <w:trHeight w:hRule="exact" w:val="123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290F4" w14:textId="77777777" w:rsidR="00F63FD5" w:rsidRDefault="00F63FD5" w:rsidP="00F63FD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4FB949" w14:textId="2E446B99" w:rsidR="00F63FD5" w:rsidRPr="00E56ADF" w:rsidRDefault="00E76C65" w:rsidP="00F63F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БЭСТ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3D46E" w14:textId="77777777" w:rsidR="00F63FD5" w:rsidRPr="00E56ADF" w:rsidRDefault="00F63FD5" w:rsidP="00F63FD5">
            <w:pPr>
              <w:ind w:firstLine="709"/>
              <w:rPr>
                <w:sz w:val="24"/>
                <w:szCs w:val="24"/>
              </w:rPr>
            </w:pPr>
            <w:r w:rsidRPr="00E56ADF">
              <w:rPr>
                <w:sz w:val="24"/>
                <w:szCs w:val="24"/>
              </w:rPr>
              <w:t>1 рубль РФ</w:t>
            </w:r>
          </w:p>
          <w:p w14:paraId="1BB1D65F" w14:textId="77777777" w:rsidR="00F63FD5" w:rsidRDefault="00F63FD5" w:rsidP="004E2C2F">
            <w:pPr>
              <w:ind w:firstLine="709"/>
              <w:rPr>
                <w:sz w:val="24"/>
                <w:szCs w:val="24"/>
              </w:rPr>
            </w:pPr>
            <w:r w:rsidRPr="00E56ADF">
              <w:rPr>
                <w:sz w:val="24"/>
                <w:szCs w:val="24"/>
              </w:rPr>
              <w:t>1 доллар СШ</w:t>
            </w:r>
            <w:r w:rsidR="004E2C2F">
              <w:rPr>
                <w:sz w:val="24"/>
                <w:szCs w:val="24"/>
              </w:rPr>
              <w:t>А</w:t>
            </w:r>
          </w:p>
          <w:p w14:paraId="64080320" w14:textId="2F278E79" w:rsidR="004E2C2F" w:rsidRPr="00FF25D2" w:rsidRDefault="004E2C2F" w:rsidP="004E2C2F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ЕВРО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C36A" w14:textId="77777777" w:rsidR="00F63FD5" w:rsidRPr="00E56ADF" w:rsidRDefault="00F63FD5" w:rsidP="00F63FD5">
            <w:pPr>
              <w:ind w:firstLine="709"/>
              <w:rPr>
                <w:sz w:val="24"/>
                <w:szCs w:val="24"/>
              </w:rPr>
            </w:pPr>
            <w:r w:rsidRPr="00E56ADF">
              <w:rPr>
                <w:sz w:val="24"/>
                <w:szCs w:val="24"/>
              </w:rPr>
              <w:t>600 000 рублей РФ</w:t>
            </w:r>
          </w:p>
          <w:p w14:paraId="41918EED" w14:textId="00900C6B" w:rsidR="00F63FD5" w:rsidRPr="00E56ADF" w:rsidRDefault="00803B53" w:rsidP="004E2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</w:t>
            </w:r>
            <w:r w:rsidR="00F63FD5" w:rsidRPr="00E56ADF">
              <w:rPr>
                <w:sz w:val="24"/>
                <w:szCs w:val="24"/>
              </w:rPr>
              <w:t>00 долларов США</w:t>
            </w:r>
            <w:r w:rsidR="004E2C2F">
              <w:rPr>
                <w:sz w:val="24"/>
                <w:szCs w:val="24"/>
              </w:rPr>
              <w:t xml:space="preserve"> или эквивалент в другой иностранной валюте</w:t>
            </w:r>
          </w:p>
          <w:p w14:paraId="0824F6A3" w14:textId="1B919240" w:rsidR="00F63FD5" w:rsidRPr="00E56ADF" w:rsidRDefault="00F63FD5" w:rsidP="00F63FD5">
            <w:pPr>
              <w:ind w:firstLine="709"/>
              <w:rPr>
                <w:sz w:val="24"/>
                <w:szCs w:val="24"/>
              </w:rPr>
            </w:pPr>
          </w:p>
        </w:tc>
      </w:tr>
    </w:tbl>
    <w:p w14:paraId="34E72860" w14:textId="7BAB03C5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Переводы в иностранной валюте по территории Российской Федерации между физическими лицами – резидентами </w:t>
      </w:r>
      <w:r w:rsidR="005E7938">
        <w:rPr>
          <w:sz w:val="24"/>
          <w:szCs w:val="24"/>
        </w:rPr>
        <w:t>Р</w:t>
      </w:r>
      <w:r w:rsidRPr="00E76C65">
        <w:rPr>
          <w:sz w:val="24"/>
          <w:szCs w:val="24"/>
        </w:rPr>
        <w:t>оссийской Федерации не осуществляются.</w:t>
      </w:r>
    </w:p>
    <w:p w14:paraId="2304C697" w14:textId="1D489B4F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Максимальную сумму перевода, которую можно выплатить получателю в стране его местонахождения, если подобные ограничения существуют, необходимо уточнить у сотрудника Банка перед отправлением перевода.</w:t>
      </w:r>
    </w:p>
    <w:p w14:paraId="09434EEC" w14:textId="1F006D8D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Для осуществления перевода Банк принимает денежные средства в рублях РФ, долларах США, ЕВРО. Если валюта перевода отличается от валюты, внесённой отправителем в кассу, Банк производит конвертацию денежных средств в валюту перевода по курсу Банка либо, при отсутствии возможности осуществить конвертацию, по курсу системы денежных переводов.</w:t>
      </w:r>
    </w:p>
    <w:p w14:paraId="763772D2" w14:textId="7FF74745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Сумму и валюту, в которой возможно получение перевода в пункте выплаты, необходимо уточнить у сотрудника Банка перед отправлением перевода.</w:t>
      </w:r>
    </w:p>
    <w:p w14:paraId="483CE03E" w14:textId="43F2072C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Размер комиссии за отправку денежного перевода можно узнать на информационных стендах Банка, расположенных в подразделениях, осуществляющих денежные переводы, на официальном сайте Банка </w:t>
      </w:r>
      <w:r w:rsidRPr="00E76C65">
        <w:rPr>
          <w:b/>
          <w:sz w:val="24"/>
          <w:szCs w:val="24"/>
          <w:lang w:val="en-US"/>
        </w:rPr>
        <w:t>www</w:t>
      </w:r>
      <w:r w:rsidRPr="00E76C65">
        <w:rPr>
          <w:b/>
          <w:sz w:val="24"/>
          <w:szCs w:val="24"/>
        </w:rPr>
        <w:t>.</w:t>
      </w:r>
      <w:proofErr w:type="spellStart"/>
      <w:r w:rsidRPr="00E76C65">
        <w:rPr>
          <w:b/>
          <w:sz w:val="24"/>
          <w:szCs w:val="24"/>
          <w:lang w:val="en-US"/>
        </w:rPr>
        <w:t>olabank</w:t>
      </w:r>
      <w:proofErr w:type="spellEnd"/>
      <w:r w:rsidRPr="00E76C65">
        <w:rPr>
          <w:b/>
          <w:sz w:val="24"/>
          <w:szCs w:val="24"/>
        </w:rPr>
        <w:t>.</w:t>
      </w:r>
      <w:proofErr w:type="spellStart"/>
      <w:r w:rsidRPr="00E76C65">
        <w:rPr>
          <w:b/>
          <w:sz w:val="24"/>
          <w:szCs w:val="24"/>
          <w:lang w:val="en-US"/>
        </w:rPr>
        <w:t>ru</w:t>
      </w:r>
      <w:proofErr w:type="spellEnd"/>
      <w:r w:rsidRPr="00E76C65">
        <w:rPr>
          <w:sz w:val="24"/>
          <w:szCs w:val="24"/>
        </w:rPr>
        <w:t xml:space="preserve"> и у сотрудника Банка перед отправлением перевода.</w:t>
      </w:r>
    </w:p>
    <w:p w14:paraId="62739166" w14:textId="3606F887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Денежные средства становятся доступными для выплаты получателю по истечении </w:t>
      </w:r>
      <w:r w:rsidRPr="00E76C65">
        <w:rPr>
          <w:sz w:val="24"/>
          <w:szCs w:val="24"/>
        </w:rPr>
        <w:br/>
        <w:t>10 - 15 минут после успешного подтверждения отправки перевода системой денежных переводов, если иное время не обусловлено внутренними правилами или графиком работы Банка, в который обратился получатель, а также особенностями оказания услуги денежных переводов в стране назначения. Возможность выдачи денежного перевода получателю может быть заблокирована на срок до 1 часа с целью проверки соблюдения правил его отправки.</w:t>
      </w:r>
    </w:p>
    <w:p w14:paraId="069DDEF5" w14:textId="517D3173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Отправитель перевода обязан сообщить получателю следующие сведения:</w:t>
      </w:r>
    </w:p>
    <w:p w14:paraId="717F1BDE" w14:textId="2389F01C" w:rsidR="00F63FD5" w:rsidRPr="00E76C65" w:rsidRDefault="00F63FD5" w:rsidP="00E76C65">
      <w:pPr>
        <w:pStyle w:val="a5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фамилию, имя, отчество отправителя;</w:t>
      </w:r>
    </w:p>
    <w:p w14:paraId="345CFCB3" w14:textId="2BA5A85E" w:rsidR="00F63FD5" w:rsidRPr="00E76C65" w:rsidRDefault="00F63FD5" w:rsidP="00E76C65">
      <w:pPr>
        <w:pStyle w:val="a5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страну и город, из которого был отправлен перевод;</w:t>
      </w:r>
    </w:p>
    <w:p w14:paraId="6E572BFA" w14:textId="586FB18E" w:rsidR="00F63FD5" w:rsidRPr="00E76C65" w:rsidRDefault="00F63FD5" w:rsidP="00E76C65">
      <w:pPr>
        <w:pStyle w:val="a5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контрольный номер перевода;</w:t>
      </w:r>
    </w:p>
    <w:p w14:paraId="06240623" w14:textId="77777777" w:rsidR="00E76C65" w:rsidRDefault="00F63FD5" w:rsidP="00E76C65">
      <w:pPr>
        <w:pStyle w:val="a5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сумму перевода без учета комиссии в валюте перевода (сумма и валюта перевода может отличаться от суммы и валюты, внесённых отправителем в кассу Банка денежных средств);</w:t>
      </w:r>
    </w:p>
    <w:p w14:paraId="099EF423" w14:textId="37745D17" w:rsidR="00F63FD5" w:rsidRPr="00E76C65" w:rsidRDefault="00F63FD5" w:rsidP="00E76C65">
      <w:pPr>
        <w:pStyle w:val="a5"/>
        <w:numPr>
          <w:ilvl w:val="0"/>
          <w:numId w:val="5"/>
        </w:numPr>
        <w:ind w:left="993" w:hanging="284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пароль на выплату перевода, если система денежных средств поддерживает данный функционал и отправителем назначен данный пароль.</w:t>
      </w:r>
    </w:p>
    <w:p w14:paraId="3208A4CE" w14:textId="05DFA102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Услуга информирования получателя о поступлении на его имя денежного перевода Банком не оказывается. Отдельные системы денежных переводов могут самостоятельно проинформировать отправителя или получателя об отправленном денежном переводе при помощи </w:t>
      </w:r>
      <w:r w:rsidRPr="00E76C65">
        <w:rPr>
          <w:sz w:val="24"/>
          <w:szCs w:val="24"/>
          <w:lang w:val="en-US"/>
        </w:rPr>
        <w:t>S</w:t>
      </w:r>
      <w:r w:rsidRPr="00E76C65">
        <w:rPr>
          <w:sz w:val="24"/>
          <w:szCs w:val="24"/>
        </w:rPr>
        <w:t>М</w:t>
      </w:r>
      <w:r w:rsidRPr="00E76C65">
        <w:rPr>
          <w:sz w:val="24"/>
          <w:szCs w:val="24"/>
          <w:lang w:val="en-US"/>
        </w:rPr>
        <w:t>S</w:t>
      </w:r>
      <w:r w:rsidRPr="00E76C65">
        <w:rPr>
          <w:sz w:val="24"/>
          <w:szCs w:val="24"/>
        </w:rPr>
        <w:t xml:space="preserve">, если номер телефона получателя сообщения известен системе. Комиссия за предоставление </w:t>
      </w:r>
      <w:r w:rsidRPr="00E76C65">
        <w:rPr>
          <w:sz w:val="24"/>
          <w:szCs w:val="24"/>
        </w:rPr>
        <w:lastRenderedPageBreak/>
        <w:t>указанной услуги по информированию клиента Банком, не взимается.</w:t>
      </w:r>
    </w:p>
    <w:p w14:paraId="10A72E42" w14:textId="7A0DF2C8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При осуществлении перевода денежных средств, получатель перевода имеет возможность получить денежные средства путем зачисления на банковский счет получателя либо получить наличные денежные средства через пункты выдачи.</w:t>
      </w:r>
    </w:p>
    <w:p w14:paraId="78A64F06" w14:textId="15A85182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При подписании документов на отправку/получение денежного перевода, клиент дает согласие на осуществление перевода денежных средств на предложенных Банком условиях.</w:t>
      </w:r>
    </w:p>
    <w:p w14:paraId="1F328A19" w14:textId="639AA0F0" w:rsidR="00F63FD5" w:rsidRPr="00E76C65" w:rsidRDefault="00F63FD5" w:rsidP="00E76C65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 xml:space="preserve">Условия возврата </w:t>
      </w:r>
      <w:r w:rsidR="005E7938">
        <w:rPr>
          <w:sz w:val="24"/>
          <w:szCs w:val="24"/>
        </w:rPr>
        <w:t>денежных средств в случаях неоказания или ненадлежащего оказания</w:t>
      </w:r>
      <w:r w:rsidR="00545DDF">
        <w:rPr>
          <w:sz w:val="24"/>
          <w:szCs w:val="24"/>
        </w:rPr>
        <w:t xml:space="preserve"> услуг по переводу денежных средств</w:t>
      </w:r>
      <w:r w:rsidR="005E4B6F">
        <w:rPr>
          <w:sz w:val="24"/>
          <w:szCs w:val="24"/>
        </w:rPr>
        <w:t>.</w:t>
      </w:r>
    </w:p>
    <w:p w14:paraId="70E8B0BA" w14:textId="0D105F65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Отправитель может вернуть отправленный им перевод в подразделении Банка, осуществившем операцию, до момента выплаты его получателю, написав соответствующее заявление. Комиссия, удержанная Банком при отправке денежного перевода, отправителю не возвращается.</w:t>
      </w:r>
    </w:p>
    <w:p w14:paraId="29D0D2FF" w14:textId="030CF7E8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Банк не располагает информацией об условиях, при которых выплата перевода денежных средств может быть задержана в соответствии с законодательством страны получения перевода денежных средств.</w:t>
      </w:r>
    </w:p>
    <w:p w14:paraId="4B3B4B31" w14:textId="0D8282EF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Возмещение убытков, понесенных клиентом в случае несвоевременного оказания услуги, неоказания услуги или частичного оказания услуги, правилами систем денежных переводов не предусмотрено.</w:t>
      </w:r>
    </w:p>
    <w:p w14:paraId="3CC06660" w14:textId="4B46D693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В случае, если при отправке денежного перевода неверно указаны фамилия, имя, отчество получателя, то отправитель имеет право заполнить заявление на корректировку перевода в пункте отправки, предъявив сотруднику Банка заявление на отправление денежного перевода и документ, удостоверяющий личность.</w:t>
      </w:r>
    </w:p>
    <w:p w14:paraId="0DF77FBD" w14:textId="28F38492" w:rsid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Порядок предъявления клиентом претензий по оказанной (не оказанной) отправителю денежных средств услуге в месте обслуживания</w:t>
      </w:r>
      <w:r w:rsidR="005E4B6F">
        <w:rPr>
          <w:sz w:val="24"/>
          <w:szCs w:val="24"/>
        </w:rPr>
        <w:t>, п</w:t>
      </w:r>
      <w:r w:rsidRPr="00E76C65">
        <w:rPr>
          <w:sz w:val="24"/>
          <w:szCs w:val="24"/>
        </w:rPr>
        <w:t xml:space="preserve">орядок рассмотрения </w:t>
      </w:r>
      <w:r w:rsidR="00545DDF">
        <w:rPr>
          <w:sz w:val="24"/>
          <w:szCs w:val="24"/>
        </w:rPr>
        <w:t>предъявленной клиентом претензии</w:t>
      </w:r>
      <w:r w:rsidR="005E4B6F">
        <w:rPr>
          <w:sz w:val="24"/>
          <w:szCs w:val="24"/>
        </w:rPr>
        <w:t>, а также порядок</w:t>
      </w:r>
      <w:r w:rsidRPr="00E76C65">
        <w:rPr>
          <w:sz w:val="24"/>
          <w:szCs w:val="24"/>
        </w:rPr>
        <w:t xml:space="preserve"> урегулирования, обеспечивающ</w:t>
      </w:r>
      <w:r w:rsidR="005E4B6F">
        <w:rPr>
          <w:sz w:val="24"/>
          <w:szCs w:val="24"/>
        </w:rPr>
        <w:t>ий</w:t>
      </w:r>
      <w:r w:rsidRPr="00E76C65">
        <w:rPr>
          <w:sz w:val="24"/>
          <w:szCs w:val="24"/>
        </w:rPr>
        <w:t xml:space="preserve"> возможность клиенту обратиться в суд для решения спорных вопросов, устанавливается действующим законодательством Российской Федерации</w:t>
      </w:r>
      <w:r w:rsidR="00545DDF">
        <w:rPr>
          <w:sz w:val="24"/>
          <w:szCs w:val="24"/>
        </w:rPr>
        <w:t>.</w:t>
      </w:r>
    </w:p>
    <w:p w14:paraId="56C3669E" w14:textId="13430A86" w:rsidR="00F63FD5" w:rsidRPr="00E76C65" w:rsidRDefault="00F63FD5" w:rsidP="00E76C65">
      <w:pPr>
        <w:pStyle w:val="a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76C65">
        <w:rPr>
          <w:sz w:val="24"/>
          <w:szCs w:val="24"/>
        </w:rPr>
        <w:t>Банк предупреждает о возможных рисках получения несанкционированного доступа к сведениям, предоставляемым плательщиком получателю денежных средств в случае утери или разглашении информации о денежном переводе.</w:t>
      </w:r>
    </w:p>
    <w:p w14:paraId="2144A307" w14:textId="77777777" w:rsidR="00F63FD5" w:rsidRPr="00E56ADF" w:rsidRDefault="00F63FD5" w:rsidP="00F63FD5">
      <w:pPr>
        <w:ind w:firstLine="709"/>
        <w:jc w:val="both"/>
        <w:rPr>
          <w:sz w:val="24"/>
          <w:szCs w:val="24"/>
        </w:rPr>
      </w:pPr>
    </w:p>
    <w:p w14:paraId="612EFF09" w14:textId="77777777" w:rsidR="00E56E0C" w:rsidRDefault="00E56E0C" w:rsidP="00F63FD5">
      <w:pPr>
        <w:ind w:firstLine="709"/>
      </w:pPr>
    </w:p>
    <w:sectPr w:rsidR="00E56E0C" w:rsidSect="002333AF">
      <w:pgSz w:w="11906" w:h="16838"/>
      <w:pgMar w:top="448" w:right="567" w:bottom="851" w:left="99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DC0D6" w14:textId="77777777" w:rsidR="00044C7C" w:rsidRDefault="00044C7C" w:rsidP="00F63FD5">
      <w:r>
        <w:separator/>
      </w:r>
    </w:p>
  </w:endnote>
  <w:endnote w:type="continuationSeparator" w:id="0">
    <w:p w14:paraId="1F88F727" w14:textId="77777777" w:rsidR="00044C7C" w:rsidRDefault="00044C7C" w:rsidP="00F6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6802" w14:textId="77777777" w:rsidR="00044C7C" w:rsidRDefault="00044C7C" w:rsidP="00F63FD5">
      <w:r>
        <w:separator/>
      </w:r>
    </w:p>
  </w:footnote>
  <w:footnote w:type="continuationSeparator" w:id="0">
    <w:p w14:paraId="2D290DE6" w14:textId="77777777" w:rsidR="00044C7C" w:rsidRDefault="00044C7C" w:rsidP="00F63FD5">
      <w:r>
        <w:continuationSeparator/>
      </w:r>
    </w:p>
  </w:footnote>
  <w:footnote w:id="1">
    <w:p w14:paraId="72B0BE64" w14:textId="77777777" w:rsidR="00F63FD5" w:rsidRPr="002D256B" w:rsidRDefault="00F63FD5" w:rsidP="00F63FD5">
      <w:pPr>
        <w:shd w:val="clear" w:color="auto" w:fill="FFFFFF"/>
        <w:jc w:val="both"/>
      </w:pPr>
      <w:r>
        <w:rPr>
          <w:rStyle w:val="a3"/>
        </w:rPr>
        <w:footnoteRef/>
      </w:r>
      <w:r>
        <w:rPr>
          <w:b/>
          <w:bCs/>
          <w:spacing w:val="3"/>
          <w:sz w:val="24"/>
          <w:szCs w:val="24"/>
        </w:rPr>
        <w:tab/>
      </w:r>
      <w:r w:rsidRPr="002D256B">
        <w:rPr>
          <w:b/>
          <w:bCs/>
          <w:spacing w:val="3"/>
        </w:rPr>
        <w:t xml:space="preserve"> </w:t>
      </w:r>
      <w:r w:rsidRPr="0056722E">
        <w:rPr>
          <w:spacing w:val="3"/>
        </w:rPr>
        <w:t>Ограничения по отправлению/выплате переводов по системам денежных переводов (в том числе, по минимальной и максимальной сумме перевода) устанавливают</w:t>
      </w:r>
      <w:r>
        <w:rPr>
          <w:spacing w:val="3"/>
        </w:rPr>
        <w:t xml:space="preserve">ся системами денежных переводов, а также по предписаниям Банка России, ограничивающими суммы и порядок отправления/получения переводов физическими лицами. </w:t>
      </w:r>
      <w:r w:rsidRPr="0056722E">
        <w:rPr>
          <w:spacing w:val="3"/>
        </w:rPr>
        <w:t>Дополнительно могут устанавливаться ограничения на максимальную сумму единичного перевода, на максимальную сумму переводов за период и другие ограничения банками-отправителями и банками-получателями в соответствии с законодательством страны или технологическими, или операционными особенностями банков-отправителей и банков-получателей. Данные ограничения доводятся до сведения отправителя до отпр</w:t>
      </w:r>
      <w:r>
        <w:rPr>
          <w:spacing w:val="3"/>
        </w:rPr>
        <w:t xml:space="preserve">авления перевода в офисах Банка, а также </w:t>
      </w:r>
      <w:r w:rsidRPr="0056722E">
        <w:rPr>
          <w:spacing w:val="3"/>
        </w:rPr>
        <w:t>размещаются на официальных сайтах си</w:t>
      </w:r>
      <w:r>
        <w:rPr>
          <w:spacing w:val="3"/>
        </w:rPr>
        <w:t xml:space="preserve">стем денежных переводов.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77896"/>
    <w:multiLevelType w:val="hybridMultilevel"/>
    <w:tmpl w:val="E8F0F588"/>
    <w:lvl w:ilvl="0" w:tplc="E78455A4">
      <w:start w:val="1"/>
      <w:numFmt w:val="bullet"/>
      <w:lvlText w:val="̵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F654C"/>
    <w:multiLevelType w:val="hybridMultilevel"/>
    <w:tmpl w:val="CEA2B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C27E11"/>
    <w:multiLevelType w:val="multilevel"/>
    <w:tmpl w:val="FB603B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DF557D9"/>
    <w:multiLevelType w:val="hybridMultilevel"/>
    <w:tmpl w:val="CAA80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157826"/>
    <w:multiLevelType w:val="hybridMultilevel"/>
    <w:tmpl w:val="32266840"/>
    <w:lvl w:ilvl="0" w:tplc="E78455A4">
      <w:start w:val="1"/>
      <w:numFmt w:val="bullet"/>
      <w:lvlText w:val="̵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C10506"/>
    <w:multiLevelType w:val="multilevel"/>
    <w:tmpl w:val="FB603B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699116557">
    <w:abstractNumId w:val="0"/>
  </w:num>
  <w:num w:numId="2" w16cid:durableId="1489204036">
    <w:abstractNumId w:val="1"/>
  </w:num>
  <w:num w:numId="3" w16cid:durableId="1763144152">
    <w:abstractNumId w:val="2"/>
  </w:num>
  <w:num w:numId="4" w16cid:durableId="1352801874">
    <w:abstractNumId w:val="3"/>
  </w:num>
  <w:num w:numId="5" w16cid:durableId="293171598">
    <w:abstractNumId w:val="4"/>
  </w:num>
  <w:num w:numId="6" w16cid:durableId="1647709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D5"/>
    <w:rsid w:val="00044C7C"/>
    <w:rsid w:val="001C3339"/>
    <w:rsid w:val="00361235"/>
    <w:rsid w:val="004E2C2F"/>
    <w:rsid w:val="005371BA"/>
    <w:rsid w:val="00545DDF"/>
    <w:rsid w:val="005E4B6F"/>
    <w:rsid w:val="005E7938"/>
    <w:rsid w:val="00803B53"/>
    <w:rsid w:val="00B84392"/>
    <w:rsid w:val="00C11ECE"/>
    <w:rsid w:val="00C15ECF"/>
    <w:rsid w:val="00C4520E"/>
    <w:rsid w:val="00E56E0C"/>
    <w:rsid w:val="00E76C65"/>
    <w:rsid w:val="00F63FD5"/>
    <w:rsid w:val="00F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722C"/>
  <w15:docId w15:val="{44DA0C98-D5C1-43F9-A63E-8D67468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FD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F63FD5"/>
  </w:style>
  <w:style w:type="character" w:styleId="a4">
    <w:name w:val="footnote reference"/>
    <w:rsid w:val="00F63FD5"/>
    <w:rPr>
      <w:vertAlign w:val="superscript"/>
    </w:rPr>
  </w:style>
  <w:style w:type="paragraph" w:styleId="a5">
    <w:name w:val="List Paragraph"/>
    <w:basedOn w:val="a"/>
    <w:uiPriority w:val="34"/>
    <w:qFormat/>
    <w:rsid w:val="00E7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Йошкар-Ола(ОАО)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Э. З.</dc:creator>
  <cp:keywords/>
  <dc:description/>
  <cp:lastModifiedBy>Заболотская Снежана Валерьевна</cp:lastModifiedBy>
  <cp:revision>7</cp:revision>
  <cp:lastPrinted>2025-04-29T13:12:00Z</cp:lastPrinted>
  <dcterms:created xsi:type="dcterms:W3CDTF">2025-04-09T20:23:00Z</dcterms:created>
  <dcterms:modified xsi:type="dcterms:W3CDTF">2025-04-29T13:22:00Z</dcterms:modified>
</cp:coreProperties>
</file>